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F914" w14:textId="66AD810E" w:rsidR="00504A16" w:rsidRDefault="00504A16" w:rsidP="00E57E63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24B7F4" wp14:editId="6179E0B8">
            <wp:simplePos x="0" y="0"/>
            <wp:positionH relativeFrom="margin">
              <wp:posOffset>4489450</wp:posOffset>
            </wp:positionH>
            <wp:positionV relativeFrom="margin">
              <wp:posOffset>0</wp:posOffset>
            </wp:positionV>
            <wp:extent cx="2051050" cy="151765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 Logo_250 x 18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C04">
        <w:rPr>
          <w:noProof/>
        </w:rPr>
        <w:drawing>
          <wp:inline distT="0" distB="0" distL="0" distR="0" wp14:anchorId="293CD120" wp14:editId="1D2F86B4">
            <wp:extent cx="1505715" cy="1432563"/>
            <wp:effectExtent l="0" t="0" r="0" b="0"/>
            <wp:docPr id="3" name="Picture 3" descr="A picture containing screensh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creenshot, blac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715" cy="143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D1031" w14:textId="11731413" w:rsidR="00B50C04" w:rsidRDefault="00B50C04" w:rsidP="00E57E63">
      <w:pPr>
        <w:pStyle w:val="NormalWeb"/>
        <w:spacing w:before="0" w:beforeAutospacing="0" w:after="0" w:afterAutospacing="0"/>
      </w:pPr>
    </w:p>
    <w:p w14:paraId="1680C7A8" w14:textId="77777777" w:rsidR="00504A16" w:rsidRPr="004C6203" w:rsidRDefault="00504A16" w:rsidP="00E57E6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BDDBE54" w14:textId="2F1E0428" w:rsidR="00504A16" w:rsidRPr="004C6203" w:rsidRDefault="009D7E61" w:rsidP="00E57E6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July 2023</w:t>
      </w:r>
    </w:p>
    <w:p w14:paraId="30353904" w14:textId="77777777" w:rsidR="00504A16" w:rsidRPr="004C6203" w:rsidRDefault="00504A16" w:rsidP="00E57E6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7E7DE72" w14:textId="54E63942" w:rsidR="00504A16" w:rsidRPr="004C6203" w:rsidRDefault="00504A16" w:rsidP="00E57E63">
      <w:pPr>
        <w:pStyle w:val="NormalWeb"/>
        <w:spacing w:before="0" w:beforeAutospacing="0" w:after="0" w:afterAutospacing="0"/>
        <w:rPr>
          <w:rFonts w:ascii="Arial" w:hAnsi="Arial" w:cs="Times New Roman"/>
          <w:b/>
          <w:bCs/>
          <w:color w:val="007C91"/>
          <w:sz w:val="48"/>
          <w:szCs w:val="48"/>
        </w:rPr>
      </w:pPr>
      <w:r w:rsidRPr="004C6203">
        <w:rPr>
          <w:rFonts w:ascii="Arial" w:hAnsi="Arial" w:cs="Times New Roman"/>
          <w:b/>
          <w:bCs/>
          <w:color w:val="007C91"/>
          <w:sz w:val="48"/>
          <w:szCs w:val="48"/>
        </w:rPr>
        <w:t>Joint position statement on medical imaging exposure and radiation safety for patients</w:t>
      </w:r>
    </w:p>
    <w:p w14:paraId="408C963E" w14:textId="7A0CB180" w:rsidR="00504A16" w:rsidRDefault="00504A16" w:rsidP="00E57E6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4026A2B" w14:textId="77777777" w:rsidR="004C6203" w:rsidRPr="004C6203" w:rsidRDefault="004C6203" w:rsidP="00E57E6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DBA85AD" w14:textId="5CCD6239" w:rsidR="00504A16" w:rsidRPr="004C6203" w:rsidRDefault="00504A16" w:rsidP="00E57E6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bookmarkStart w:id="0" w:name="_Hlk137196440"/>
      <w:r w:rsidRPr="004C6203">
        <w:rPr>
          <w:rFonts w:ascii="Arial" w:hAnsi="Arial" w:cs="Arial"/>
          <w:sz w:val="24"/>
          <w:szCs w:val="24"/>
        </w:rPr>
        <w:t>The UK Health Security Agency (UKHSA) and the British Institute of Radiology (BIR) support the view that the decision to perform a medical imaging exposure should be based on clinical need rather than the dose from previous exposures</w:t>
      </w:r>
      <w:r w:rsidR="009F5B5E">
        <w:rPr>
          <w:rFonts w:ascii="Arial" w:hAnsi="Arial" w:cs="Arial"/>
          <w:sz w:val="24"/>
          <w:szCs w:val="24"/>
        </w:rPr>
        <w:t>.</w:t>
      </w:r>
    </w:p>
    <w:bookmarkEnd w:id="0"/>
    <w:p w14:paraId="5F8A383C" w14:textId="3C3D6BFC" w:rsidR="00504A16" w:rsidRDefault="00504A16" w:rsidP="00E57E6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B646456" w14:textId="77777777" w:rsidR="004C6203" w:rsidRPr="004C6203" w:rsidRDefault="004C6203" w:rsidP="00E57E6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1B9D917" w14:textId="77777777" w:rsidR="00504A16" w:rsidRPr="009D7E61" w:rsidRDefault="00504A16" w:rsidP="00E57E63">
      <w:pPr>
        <w:pStyle w:val="NormalWeb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9D7E61">
        <w:rPr>
          <w:rFonts w:ascii="Arial" w:hAnsi="Arial" w:cs="Arial"/>
          <w:b/>
          <w:sz w:val="24"/>
          <w:szCs w:val="24"/>
        </w:rPr>
        <w:t>Background</w:t>
      </w:r>
    </w:p>
    <w:p w14:paraId="12E84B88" w14:textId="7BD13393" w:rsidR="00E57E63" w:rsidRPr="004C6203" w:rsidRDefault="00E30C57" w:rsidP="00E57E6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In May 2021, t</w:t>
      </w:r>
      <w:r w:rsidR="00E57E63" w:rsidRPr="004C6203">
        <w:rPr>
          <w:rFonts w:ascii="Arial" w:hAnsi="Arial" w:cs="Arial"/>
          <w:sz w:val="24"/>
          <w:szCs w:val="24"/>
        </w:rPr>
        <w:t xml:space="preserve">he </w:t>
      </w:r>
      <w:r w:rsidR="009254BE">
        <w:rPr>
          <w:rFonts w:ascii="Arial" w:hAnsi="Arial" w:cs="Arial"/>
          <w:sz w:val="24"/>
          <w:szCs w:val="24"/>
        </w:rPr>
        <w:t>International Atomic Energy Agency (</w:t>
      </w:r>
      <w:r w:rsidR="00E57E63" w:rsidRPr="004C6203">
        <w:rPr>
          <w:rFonts w:ascii="Arial" w:hAnsi="Arial" w:cs="Arial"/>
          <w:sz w:val="24"/>
          <w:szCs w:val="24"/>
        </w:rPr>
        <w:t>IAEA</w:t>
      </w:r>
      <w:r w:rsidR="009254BE">
        <w:rPr>
          <w:rFonts w:ascii="Arial" w:hAnsi="Arial" w:cs="Arial"/>
          <w:sz w:val="24"/>
          <w:szCs w:val="24"/>
        </w:rPr>
        <w:t>)</w:t>
      </w:r>
      <w:r w:rsidR="00E57E63" w:rsidRPr="004C6203">
        <w:rPr>
          <w:rFonts w:ascii="Arial" w:hAnsi="Arial" w:cs="Arial"/>
          <w:sz w:val="24"/>
          <w:szCs w:val="24"/>
        </w:rPr>
        <w:t xml:space="preserve"> published </w:t>
      </w:r>
      <w:r w:rsidR="00680352" w:rsidRPr="004C6203">
        <w:rPr>
          <w:rFonts w:ascii="Arial" w:hAnsi="Arial" w:cs="Arial"/>
          <w:sz w:val="24"/>
          <w:szCs w:val="24"/>
        </w:rPr>
        <w:t xml:space="preserve">a </w:t>
      </w:r>
      <w:r w:rsidR="00785077">
        <w:rPr>
          <w:rFonts w:ascii="Arial" w:hAnsi="Arial" w:cs="Arial"/>
          <w:sz w:val="24"/>
          <w:szCs w:val="24"/>
        </w:rPr>
        <w:t>j</w:t>
      </w:r>
      <w:r w:rsidR="00680352" w:rsidRPr="004C6203">
        <w:rPr>
          <w:rFonts w:ascii="Arial" w:hAnsi="Arial" w:cs="Arial"/>
          <w:sz w:val="24"/>
          <w:szCs w:val="24"/>
        </w:rPr>
        <w:t xml:space="preserve">oint </w:t>
      </w:r>
      <w:hyperlink r:id="rId10" w:history="1">
        <w:r w:rsidR="00785077">
          <w:rPr>
            <w:rStyle w:val="Hyperlink"/>
            <w:rFonts w:ascii="Arial" w:hAnsi="Arial" w:cs="Arial"/>
            <w:sz w:val="24"/>
            <w:szCs w:val="24"/>
          </w:rPr>
          <w:t>p</w:t>
        </w:r>
        <w:r w:rsidR="00E57E63" w:rsidRPr="004C6203">
          <w:rPr>
            <w:rStyle w:val="Hyperlink"/>
            <w:rFonts w:ascii="Arial" w:hAnsi="Arial" w:cs="Arial"/>
            <w:sz w:val="24"/>
            <w:szCs w:val="24"/>
          </w:rPr>
          <w:t xml:space="preserve">osition </w:t>
        </w:r>
        <w:r w:rsidR="00785077">
          <w:rPr>
            <w:rStyle w:val="Hyperlink"/>
            <w:rFonts w:ascii="Arial" w:hAnsi="Arial" w:cs="Arial"/>
            <w:sz w:val="24"/>
            <w:szCs w:val="24"/>
          </w:rPr>
          <w:t>s</w:t>
        </w:r>
        <w:r w:rsidR="00E57E63" w:rsidRPr="004C6203">
          <w:rPr>
            <w:rStyle w:val="Hyperlink"/>
            <w:rFonts w:ascii="Arial" w:hAnsi="Arial" w:cs="Arial"/>
            <w:sz w:val="24"/>
            <w:szCs w:val="24"/>
          </w:rPr>
          <w:t>tatement</w:t>
        </w:r>
      </w:hyperlink>
      <w:r w:rsidR="00E57E63" w:rsidRPr="004C6203">
        <w:rPr>
          <w:rFonts w:ascii="Arial" w:hAnsi="Arial" w:cs="Arial"/>
          <w:sz w:val="24"/>
          <w:szCs w:val="24"/>
        </w:rPr>
        <w:t xml:space="preserve"> </w:t>
      </w:r>
      <w:r w:rsidRPr="004C6203">
        <w:rPr>
          <w:rFonts w:ascii="Arial" w:hAnsi="Arial" w:cs="Arial"/>
          <w:sz w:val="24"/>
          <w:szCs w:val="24"/>
        </w:rPr>
        <w:t xml:space="preserve">with a range of international organisations and professional bodies </w:t>
      </w:r>
      <w:r w:rsidR="00E57E63" w:rsidRPr="004C6203">
        <w:rPr>
          <w:rFonts w:ascii="Arial" w:hAnsi="Arial" w:cs="Arial"/>
          <w:sz w:val="24"/>
          <w:szCs w:val="24"/>
        </w:rPr>
        <w:t xml:space="preserve">and call for action </w:t>
      </w:r>
      <w:r w:rsidRPr="004C6203">
        <w:rPr>
          <w:rFonts w:ascii="Arial" w:hAnsi="Arial" w:cs="Arial"/>
          <w:sz w:val="24"/>
          <w:szCs w:val="24"/>
        </w:rPr>
        <w:t xml:space="preserve">to </w:t>
      </w:r>
      <w:r w:rsidR="00E57E63" w:rsidRPr="004C6203">
        <w:rPr>
          <w:rFonts w:ascii="Arial" w:hAnsi="Arial" w:cs="Arial"/>
          <w:sz w:val="24"/>
          <w:szCs w:val="24"/>
        </w:rPr>
        <w:t>strengthen radiation protection of patient</w:t>
      </w:r>
      <w:r w:rsidRPr="004C6203">
        <w:rPr>
          <w:rFonts w:ascii="Arial" w:hAnsi="Arial" w:cs="Arial"/>
          <w:sz w:val="24"/>
          <w:szCs w:val="24"/>
        </w:rPr>
        <w:t>s</w:t>
      </w:r>
      <w:r w:rsidR="00E57E63" w:rsidRPr="004C6203">
        <w:rPr>
          <w:rFonts w:ascii="Arial" w:hAnsi="Arial" w:cs="Arial"/>
          <w:sz w:val="24"/>
          <w:szCs w:val="24"/>
        </w:rPr>
        <w:t xml:space="preserve"> undergoing recurrent radiological imaging procedures.  </w:t>
      </w:r>
    </w:p>
    <w:p w14:paraId="74A65C92" w14:textId="77777777" w:rsidR="00E57E63" w:rsidRPr="004C6203" w:rsidRDefault="00E57E63" w:rsidP="00E57E6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8955309" w14:textId="2F1E16C3" w:rsidR="00C2233B" w:rsidRPr="004C6203" w:rsidRDefault="00B964FF" w:rsidP="00310C60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The</w:t>
      </w:r>
      <w:r w:rsidR="00342154" w:rsidRPr="004C6203">
        <w:rPr>
          <w:rFonts w:ascii="Arial" w:hAnsi="Arial" w:cs="Arial"/>
          <w:sz w:val="24"/>
          <w:szCs w:val="24"/>
        </w:rPr>
        <w:t xml:space="preserve"> IAEA highlighted the</w:t>
      </w:r>
      <w:r w:rsidR="00EC2BB5" w:rsidRPr="004C6203">
        <w:rPr>
          <w:rFonts w:ascii="Arial" w:hAnsi="Arial" w:cs="Arial"/>
          <w:sz w:val="24"/>
          <w:szCs w:val="24"/>
        </w:rPr>
        <w:t xml:space="preserve"> potential for</w:t>
      </w:r>
      <w:r w:rsidRPr="004C6203">
        <w:rPr>
          <w:rFonts w:ascii="Arial" w:hAnsi="Arial" w:cs="Arial"/>
          <w:sz w:val="24"/>
          <w:szCs w:val="24"/>
        </w:rPr>
        <w:t xml:space="preserve"> automatic exposure monitoring systems</w:t>
      </w:r>
      <w:r w:rsidR="00EC2BB5" w:rsidRPr="004C6203">
        <w:rPr>
          <w:rFonts w:ascii="Arial" w:hAnsi="Arial" w:cs="Arial"/>
          <w:sz w:val="24"/>
          <w:szCs w:val="24"/>
        </w:rPr>
        <w:t xml:space="preserve"> to monitor</w:t>
      </w:r>
      <w:r w:rsidRPr="004C6203">
        <w:rPr>
          <w:rFonts w:ascii="Arial" w:hAnsi="Arial" w:cs="Arial"/>
          <w:sz w:val="24"/>
          <w:szCs w:val="24"/>
        </w:rPr>
        <w:t xml:space="preserve"> cumulative dose at an individual patient level. </w:t>
      </w:r>
      <w:r w:rsidR="00342154" w:rsidRPr="004C6203">
        <w:rPr>
          <w:rFonts w:ascii="Arial" w:hAnsi="Arial" w:cs="Arial"/>
          <w:sz w:val="24"/>
          <w:szCs w:val="24"/>
        </w:rPr>
        <w:t xml:space="preserve">The </w:t>
      </w:r>
      <w:r w:rsidR="0085464B" w:rsidRPr="004C6203">
        <w:rPr>
          <w:rFonts w:ascii="Arial" w:hAnsi="Arial" w:cs="Arial"/>
          <w:sz w:val="24"/>
          <w:szCs w:val="24"/>
        </w:rPr>
        <w:t>j</w:t>
      </w:r>
      <w:r w:rsidR="00342154" w:rsidRPr="004C6203">
        <w:rPr>
          <w:rFonts w:ascii="Arial" w:hAnsi="Arial" w:cs="Arial"/>
          <w:sz w:val="24"/>
          <w:szCs w:val="24"/>
        </w:rPr>
        <w:t xml:space="preserve">oint </w:t>
      </w:r>
      <w:r w:rsidR="00785077">
        <w:rPr>
          <w:rFonts w:ascii="Arial" w:hAnsi="Arial" w:cs="Arial"/>
          <w:sz w:val="24"/>
          <w:szCs w:val="24"/>
        </w:rPr>
        <w:t>p</w:t>
      </w:r>
      <w:r w:rsidR="00342154" w:rsidRPr="004C6203">
        <w:rPr>
          <w:rFonts w:ascii="Arial" w:hAnsi="Arial" w:cs="Arial"/>
          <w:sz w:val="24"/>
          <w:szCs w:val="24"/>
        </w:rPr>
        <w:t xml:space="preserve">osition </w:t>
      </w:r>
      <w:r w:rsidR="00785077">
        <w:rPr>
          <w:rFonts w:ascii="Arial" w:hAnsi="Arial" w:cs="Arial"/>
          <w:sz w:val="24"/>
          <w:szCs w:val="24"/>
        </w:rPr>
        <w:t>s</w:t>
      </w:r>
      <w:r w:rsidR="00342154" w:rsidRPr="004C6203">
        <w:rPr>
          <w:rFonts w:ascii="Arial" w:hAnsi="Arial" w:cs="Arial"/>
          <w:sz w:val="24"/>
          <w:szCs w:val="24"/>
        </w:rPr>
        <w:t xml:space="preserve">tatement proposed </w:t>
      </w:r>
      <w:r w:rsidR="00C2233B" w:rsidRPr="004C6203">
        <w:rPr>
          <w:rFonts w:ascii="Arial" w:hAnsi="Arial" w:cs="Arial"/>
          <w:sz w:val="24"/>
          <w:szCs w:val="24"/>
        </w:rPr>
        <w:t>actions to address concerns over high cumulative doses from recurrent medical imaging</w:t>
      </w:r>
      <w:r w:rsidR="006A5D97" w:rsidRPr="004C6203">
        <w:rPr>
          <w:rFonts w:ascii="Arial" w:hAnsi="Arial" w:cs="Arial"/>
          <w:sz w:val="24"/>
          <w:szCs w:val="24"/>
        </w:rPr>
        <w:t xml:space="preserve"> including, identification of clinical conditions that require recurrent imaging and developing strategies </w:t>
      </w:r>
      <w:r w:rsidR="00FE36B2" w:rsidRPr="004C6203">
        <w:rPr>
          <w:rFonts w:ascii="Arial" w:hAnsi="Arial" w:cs="Arial"/>
          <w:sz w:val="24"/>
          <w:szCs w:val="24"/>
        </w:rPr>
        <w:t>in terms of the type of imaging and frequency</w:t>
      </w:r>
      <w:r w:rsidR="00C2233B" w:rsidRPr="004C6203">
        <w:rPr>
          <w:rFonts w:ascii="Arial" w:hAnsi="Arial" w:cs="Arial"/>
          <w:sz w:val="24"/>
          <w:szCs w:val="24"/>
        </w:rPr>
        <w:t xml:space="preserve">. </w:t>
      </w:r>
      <w:r w:rsidR="00FE36B2" w:rsidRPr="004C6203">
        <w:rPr>
          <w:rFonts w:ascii="Arial" w:hAnsi="Arial" w:cs="Arial"/>
          <w:sz w:val="24"/>
          <w:szCs w:val="24"/>
        </w:rPr>
        <w:t>It also recommend</w:t>
      </w:r>
      <w:r w:rsidR="005576CF" w:rsidRPr="004C6203">
        <w:rPr>
          <w:rFonts w:ascii="Arial" w:hAnsi="Arial" w:cs="Arial"/>
          <w:sz w:val="24"/>
          <w:szCs w:val="24"/>
        </w:rPr>
        <w:t>ed</w:t>
      </w:r>
      <w:r w:rsidR="00FE36B2" w:rsidRPr="004C6203">
        <w:rPr>
          <w:rFonts w:ascii="Arial" w:hAnsi="Arial" w:cs="Arial"/>
          <w:sz w:val="24"/>
          <w:szCs w:val="24"/>
        </w:rPr>
        <w:t xml:space="preserve"> the need for customised imaging protocols for these patients and use of the latest technolog</w:t>
      </w:r>
      <w:r w:rsidR="0085464B" w:rsidRPr="004C6203">
        <w:rPr>
          <w:rFonts w:ascii="Arial" w:hAnsi="Arial" w:cs="Arial"/>
          <w:sz w:val="24"/>
          <w:szCs w:val="24"/>
        </w:rPr>
        <w:t>y</w:t>
      </w:r>
      <w:r w:rsidR="00FE36B2" w:rsidRPr="004C6203">
        <w:rPr>
          <w:rFonts w:ascii="Arial" w:hAnsi="Arial" w:cs="Arial"/>
          <w:sz w:val="24"/>
          <w:szCs w:val="24"/>
        </w:rPr>
        <w:t xml:space="preserve"> to help reduce patient dose. </w:t>
      </w:r>
      <w:r w:rsidR="0085464B" w:rsidRPr="004C6203">
        <w:rPr>
          <w:rFonts w:ascii="Arial" w:hAnsi="Arial" w:cs="Arial"/>
          <w:sz w:val="24"/>
          <w:szCs w:val="24"/>
        </w:rPr>
        <w:t xml:space="preserve">Further </w:t>
      </w:r>
      <w:r w:rsidR="00FE36B2" w:rsidRPr="004C6203">
        <w:rPr>
          <w:rFonts w:ascii="Arial" w:hAnsi="Arial" w:cs="Arial"/>
          <w:sz w:val="24"/>
          <w:szCs w:val="24"/>
        </w:rPr>
        <w:t xml:space="preserve">actions include strengthening radiation protection education and training of healthcare professionals and strengthening communication.   </w:t>
      </w:r>
    </w:p>
    <w:p w14:paraId="1FAFB8E8" w14:textId="450288ED" w:rsidR="006A5D97" w:rsidRPr="004C6203" w:rsidRDefault="00FE36B2" w:rsidP="00310C60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 xml:space="preserve">   </w:t>
      </w:r>
    </w:p>
    <w:p w14:paraId="4E5D017F" w14:textId="2D275BEF" w:rsidR="00FE36B2" w:rsidRPr="004C6203" w:rsidRDefault="005576CF" w:rsidP="00310C60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Notably</w:t>
      </w:r>
      <w:r w:rsidR="0085464B" w:rsidRPr="004C6203">
        <w:rPr>
          <w:rFonts w:ascii="Arial" w:hAnsi="Arial" w:cs="Arial"/>
          <w:sz w:val="24"/>
          <w:szCs w:val="24"/>
        </w:rPr>
        <w:t>, t</w:t>
      </w:r>
      <w:r w:rsidR="006A5D97" w:rsidRPr="004C6203">
        <w:rPr>
          <w:rFonts w:ascii="Arial" w:hAnsi="Arial" w:cs="Arial"/>
          <w:sz w:val="24"/>
          <w:szCs w:val="24"/>
        </w:rPr>
        <w:t xml:space="preserve">he </w:t>
      </w:r>
      <w:r w:rsidR="0085464B" w:rsidRPr="004C6203">
        <w:rPr>
          <w:rFonts w:ascii="Arial" w:hAnsi="Arial" w:cs="Arial"/>
          <w:sz w:val="24"/>
          <w:szCs w:val="24"/>
        </w:rPr>
        <w:t>joint position statement recommend</w:t>
      </w:r>
      <w:r w:rsidRPr="004C6203">
        <w:rPr>
          <w:rFonts w:ascii="Arial" w:hAnsi="Arial" w:cs="Arial"/>
          <w:sz w:val="24"/>
          <w:szCs w:val="24"/>
        </w:rPr>
        <w:t>ed</w:t>
      </w:r>
      <w:r w:rsidR="0085464B" w:rsidRPr="004C6203">
        <w:rPr>
          <w:rFonts w:ascii="Arial" w:hAnsi="Arial" w:cs="Arial"/>
          <w:sz w:val="24"/>
          <w:szCs w:val="24"/>
        </w:rPr>
        <w:t xml:space="preserve"> that dose monitoring systems should be used to monitor the exposure history of individual patients using type of radiological procedure, estimated effective dose or patient-specific organ dose estimates. The </w:t>
      </w:r>
      <w:r w:rsidR="00785077">
        <w:rPr>
          <w:rFonts w:ascii="Arial" w:hAnsi="Arial" w:cs="Arial"/>
          <w:sz w:val="24"/>
          <w:szCs w:val="24"/>
        </w:rPr>
        <w:t>j</w:t>
      </w:r>
      <w:r w:rsidR="0085464B" w:rsidRPr="004C6203">
        <w:rPr>
          <w:rFonts w:ascii="Arial" w:hAnsi="Arial" w:cs="Arial"/>
          <w:sz w:val="24"/>
          <w:szCs w:val="24"/>
        </w:rPr>
        <w:t xml:space="preserve">oint </w:t>
      </w:r>
      <w:r w:rsidR="00785077">
        <w:rPr>
          <w:rFonts w:ascii="Arial" w:hAnsi="Arial" w:cs="Arial"/>
          <w:sz w:val="24"/>
          <w:szCs w:val="24"/>
        </w:rPr>
        <w:t>p</w:t>
      </w:r>
      <w:r w:rsidR="0085464B" w:rsidRPr="004C6203">
        <w:rPr>
          <w:rFonts w:ascii="Arial" w:hAnsi="Arial" w:cs="Arial"/>
          <w:sz w:val="24"/>
          <w:szCs w:val="24"/>
        </w:rPr>
        <w:t xml:space="preserve">osition </w:t>
      </w:r>
      <w:r w:rsidR="00785077">
        <w:rPr>
          <w:rFonts w:ascii="Arial" w:hAnsi="Arial" w:cs="Arial"/>
          <w:sz w:val="24"/>
          <w:szCs w:val="24"/>
        </w:rPr>
        <w:t>s</w:t>
      </w:r>
      <w:r w:rsidR="0085464B" w:rsidRPr="004C6203">
        <w:rPr>
          <w:rFonts w:ascii="Arial" w:hAnsi="Arial" w:cs="Arial"/>
          <w:sz w:val="24"/>
          <w:szCs w:val="24"/>
        </w:rPr>
        <w:t>tatement recommend</w:t>
      </w:r>
      <w:r w:rsidRPr="004C6203">
        <w:rPr>
          <w:rFonts w:ascii="Arial" w:hAnsi="Arial" w:cs="Arial"/>
          <w:sz w:val="24"/>
          <w:szCs w:val="24"/>
        </w:rPr>
        <w:t>ed</w:t>
      </w:r>
      <w:r w:rsidR="0085464B" w:rsidRPr="004C6203">
        <w:rPr>
          <w:rFonts w:ascii="Arial" w:hAnsi="Arial" w:cs="Arial"/>
          <w:sz w:val="24"/>
          <w:szCs w:val="24"/>
        </w:rPr>
        <w:t xml:space="preserve"> where possible, clinical and radiation dose information from the patient’s previous imaging procedures needs to be made available to help strengthen the </w:t>
      </w:r>
      <w:r w:rsidR="004C6203" w:rsidRPr="004C6203">
        <w:rPr>
          <w:rFonts w:ascii="Arial" w:hAnsi="Arial" w:cs="Arial"/>
          <w:sz w:val="24"/>
          <w:szCs w:val="24"/>
        </w:rPr>
        <w:t>decision-making</w:t>
      </w:r>
      <w:r w:rsidR="0085464B" w:rsidRPr="004C6203">
        <w:rPr>
          <w:rFonts w:ascii="Arial" w:hAnsi="Arial" w:cs="Arial"/>
          <w:sz w:val="24"/>
          <w:szCs w:val="24"/>
        </w:rPr>
        <w:t xml:space="preserve"> process when justifying a series of radiological procedures for a patient. </w:t>
      </w:r>
    </w:p>
    <w:p w14:paraId="4A2FB287" w14:textId="42E55D3B" w:rsidR="00327A71" w:rsidRPr="004C6203" w:rsidRDefault="00327A71" w:rsidP="00680352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18A6B5B" w14:textId="08834B2A" w:rsidR="00504A16" w:rsidRPr="009D7E61" w:rsidRDefault="00504A16" w:rsidP="00680352">
      <w:pPr>
        <w:pStyle w:val="NormalWeb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9D7E61">
        <w:rPr>
          <w:rFonts w:ascii="Arial" w:hAnsi="Arial" w:cs="Arial"/>
          <w:b/>
          <w:sz w:val="24"/>
          <w:szCs w:val="24"/>
        </w:rPr>
        <w:t>AAPM response</w:t>
      </w:r>
    </w:p>
    <w:p w14:paraId="14D30567" w14:textId="0714688E" w:rsidR="009D716E" w:rsidRPr="004C6203" w:rsidRDefault="005576CF" w:rsidP="00680352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 xml:space="preserve">In response to the joint position statement, the </w:t>
      </w:r>
      <w:r w:rsidR="00327A71" w:rsidRPr="004C6203">
        <w:rPr>
          <w:rFonts w:ascii="Arial" w:hAnsi="Arial" w:cs="Arial"/>
          <w:sz w:val="24"/>
          <w:szCs w:val="24"/>
        </w:rPr>
        <w:t xml:space="preserve">American Association of Physicists in Medicine (AAPM), the American College of Radiology (ACR), and the Health Physics </w:t>
      </w:r>
      <w:r w:rsidR="00327A71" w:rsidRPr="004C6203">
        <w:rPr>
          <w:rFonts w:ascii="Arial" w:hAnsi="Arial" w:cs="Arial"/>
          <w:sz w:val="24"/>
          <w:szCs w:val="24"/>
        </w:rPr>
        <w:lastRenderedPageBreak/>
        <w:t xml:space="preserve">Society (HPS) </w:t>
      </w:r>
      <w:r w:rsidRPr="004C6203">
        <w:rPr>
          <w:rFonts w:ascii="Arial" w:hAnsi="Arial" w:cs="Arial"/>
          <w:sz w:val="24"/>
          <w:szCs w:val="24"/>
        </w:rPr>
        <w:t xml:space="preserve">published a </w:t>
      </w:r>
      <w:hyperlink r:id="rId11" w:history="1">
        <w:r w:rsidRPr="004C6203">
          <w:rPr>
            <w:rStyle w:val="Hyperlink"/>
            <w:rFonts w:ascii="Arial" w:hAnsi="Arial" w:cs="Arial"/>
            <w:sz w:val="24"/>
            <w:szCs w:val="24"/>
          </w:rPr>
          <w:t xml:space="preserve">policy </w:t>
        </w:r>
      </w:hyperlink>
      <w:r w:rsidR="003720A4" w:rsidRPr="004C6203">
        <w:rPr>
          <w:rFonts w:ascii="Arial" w:hAnsi="Arial" w:cs="Arial"/>
          <w:sz w:val="24"/>
          <w:szCs w:val="24"/>
        </w:rPr>
        <w:t>on the use of dose metric tracking for medical exposures. The AAPM consider</w:t>
      </w:r>
      <w:r w:rsidR="00327A71" w:rsidRPr="004C6203">
        <w:rPr>
          <w:rFonts w:ascii="Arial" w:hAnsi="Arial" w:cs="Arial"/>
          <w:sz w:val="24"/>
          <w:szCs w:val="24"/>
        </w:rPr>
        <w:t xml:space="preserve"> that the decision to perform a medical imaging exam should be based on clinical grounds, including the information available from prior imaging results, and not on the dose from prior imaging-related radiation exposures. </w:t>
      </w:r>
    </w:p>
    <w:p w14:paraId="16F7CE41" w14:textId="77777777" w:rsidR="00342154" w:rsidRPr="004C6203" w:rsidRDefault="00342154" w:rsidP="00680352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78C39C4" w14:textId="34281F85" w:rsidR="009D716E" w:rsidRPr="004C6203" w:rsidRDefault="00EC2BB5" w:rsidP="00680352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The AAPM advise that j</w:t>
      </w:r>
      <w:r w:rsidR="009D716E" w:rsidRPr="004C6203">
        <w:rPr>
          <w:rFonts w:ascii="Arial" w:hAnsi="Arial" w:cs="Arial"/>
          <w:sz w:val="24"/>
          <w:szCs w:val="24"/>
        </w:rPr>
        <w:t>ustification</w:t>
      </w:r>
      <w:r w:rsidRPr="004C6203">
        <w:rPr>
          <w:rFonts w:ascii="Arial" w:hAnsi="Arial" w:cs="Arial"/>
          <w:sz w:val="24"/>
          <w:szCs w:val="24"/>
        </w:rPr>
        <w:t xml:space="preserve"> of the potential patient benefit</w:t>
      </w:r>
      <w:r w:rsidR="009D716E" w:rsidRPr="004C6203">
        <w:rPr>
          <w:rFonts w:ascii="Arial" w:hAnsi="Arial" w:cs="Arial"/>
          <w:sz w:val="24"/>
          <w:szCs w:val="24"/>
        </w:rPr>
        <w:t xml:space="preserve"> and optimisation of medical imaging exposures </w:t>
      </w:r>
      <w:r w:rsidRPr="004C6203">
        <w:rPr>
          <w:rFonts w:ascii="Arial" w:hAnsi="Arial" w:cs="Arial"/>
          <w:sz w:val="24"/>
          <w:szCs w:val="24"/>
        </w:rPr>
        <w:t xml:space="preserve">are </w:t>
      </w:r>
      <w:r w:rsidR="009D716E" w:rsidRPr="004C6203">
        <w:rPr>
          <w:rFonts w:ascii="Arial" w:hAnsi="Arial" w:cs="Arial"/>
          <w:sz w:val="24"/>
          <w:szCs w:val="24"/>
        </w:rPr>
        <w:t xml:space="preserve">the most appropriate actions to take to protect patients from unnecessary medical exposures. </w:t>
      </w:r>
    </w:p>
    <w:p w14:paraId="48D5D42A" w14:textId="322708C2" w:rsidR="009D716E" w:rsidRPr="004C6203" w:rsidRDefault="009D716E" w:rsidP="00680352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2B179A8" w14:textId="64CE18EC" w:rsidR="00327A71" w:rsidRPr="004C6203" w:rsidRDefault="00BC2A0C" w:rsidP="00680352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 xml:space="preserve">The </w:t>
      </w:r>
      <w:r w:rsidR="00EC2BB5" w:rsidRPr="004C6203">
        <w:rPr>
          <w:rFonts w:ascii="Arial" w:hAnsi="Arial" w:cs="Arial"/>
          <w:sz w:val="24"/>
          <w:szCs w:val="24"/>
        </w:rPr>
        <w:t xml:space="preserve">AAPM </w:t>
      </w:r>
      <w:r w:rsidR="00327A71" w:rsidRPr="004C6203">
        <w:rPr>
          <w:rFonts w:ascii="Arial" w:hAnsi="Arial" w:cs="Arial"/>
          <w:sz w:val="24"/>
          <w:szCs w:val="24"/>
        </w:rPr>
        <w:t>recommends against using dose values, including effective dose, from a patient’s prior imaging exams for the purposes of medical decision making</w:t>
      </w:r>
      <w:r w:rsidR="003F1233" w:rsidRPr="004C6203">
        <w:rPr>
          <w:rFonts w:ascii="Arial" w:hAnsi="Arial" w:cs="Arial"/>
          <w:sz w:val="24"/>
          <w:szCs w:val="24"/>
        </w:rPr>
        <w:t>,</w:t>
      </w:r>
      <w:r w:rsidR="00327A71" w:rsidRPr="004C6203">
        <w:rPr>
          <w:rFonts w:ascii="Arial" w:hAnsi="Arial" w:cs="Arial"/>
          <w:sz w:val="24"/>
          <w:szCs w:val="24"/>
        </w:rPr>
        <w:t xml:space="preserve"> </w:t>
      </w:r>
      <w:r w:rsidR="00DF23C8" w:rsidRPr="004C6203">
        <w:rPr>
          <w:rFonts w:ascii="Arial" w:hAnsi="Arial" w:cs="Arial"/>
          <w:sz w:val="24"/>
          <w:szCs w:val="24"/>
        </w:rPr>
        <w:t>as the use of</w:t>
      </w:r>
      <w:r w:rsidR="00327A71" w:rsidRPr="004C6203">
        <w:rPr>
          <w:rFonts w:ascii="Arial" w:hAnsi="Arial" w:cs="Arial"/>
          <w:sz w:val="24"/>
          <w:szCs w:val="24"/>
        </w:rPr>
        <w:t xml:space="preserve"> cumulative effective dose may</w:t>
      </w:r>
      <w:r w:rsidR="00DF23C8" w:rsidRPr="004C6203">
        <w:rPr>
          <w:rFonts w:ascii="Arial" w:hAnsi="Arial" w:cs="Arial"/>
          <w:sz w:val="24"/>
          <w:szCs w:val="24"/>
        </w:rPr>
        <w:t xml:space="preserve"> have a</w:t>
      </w:r>
      <w:r w:rsidR="00327A71" w:rsidRPr="004C6203">
        <w:rPr>
          <w:rFonts w:ascii="Arial" w:hAnsi="Arial" w:cs="Arial"/>
          <w:sz w:val="24"/>
          <w:szCs w:val="24"/>
        </w:rPr>
        <w:t xml:space="preserve"> negativ</w:t>
      </w:r>
      <w:r w:rsidR="00DF23C8" w:rsidRPr="004C6203">
        <w:rPr>
          <w:rFonts w:ascii="Arial" w:hAnsi="Arial" w:cs="Arial"/>
          <w:sz w:val="24"/>
          <w:szCs w:val="24"/>
        </w:rPr>
        <w:t>e</w:t>
      </w:r>
      <w:r w:rsidR="00327A71" w:rsidRPr="004C6203">
        <w:rPr>
          <w:rFonts w:ascii="Arial" w:hAnsi="Arial" w:cs="Arial"/>
          <w:sz w:val="24"/>
          <w:szCs w:val="24"/>
        </w:rPr>
        <w:t xml:space="preserve"> impact </w:t>
      </w:r>
      <w:r w:rsidR="00DF23C8" w:rsidRPr="004C6203">
        <w:rPr>
          <w:rFonts w:ascii="Arial" w:hAnsi="Arial" w:cs="Arial"/>
          <w:sz w:val="24"/>
          <w:szCs w:val="24"/>
        </w:rPr>
        <w:t>on</w:t>
      </w:r>
      <w:r w:rsidR="00327A71" w:rsidRPr="004C6203">
        <w:rPr>
          <w:rFonts w:ascii="Arial" w:hAnsi="Arial" w:cs="Arial"/>
          <w:sz w:val="24"/>
          <w:szCs w:val="24"/>
        </w:rPr>
        <w:t xml:space="preserve"> patient care</w:t>
      </w:r>
      <w:r w:rsidR="00DF23C8" w:rsidRPr="004C6203">
        <w:rPr>
          <w:rFonts w:ascii="Arial" w:hAnsi="Arial" w:cs="Arial"/>
          <w:sz w:val="24"/>
          <w:szCs w:val="24"/>
        </w:rPr>
        <w:t>.</w:t>
      </w:r>
    </w:p>
    <w:p w14:paraId="3F8BDE89" w14:textId="3C53EB47" w:rsidR="00370AB8" w:rsidRPr="004C6203" w:rsidRDefault="00370AB8" w:rsidP="00680352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A75C840" w14:textId="139027B4" w:rsidR="003072CC" w:rsidRPr="004C6203" w:rsidRDefault="003072CC" w:rsidP="00680352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B423173" w14:textId="316D25F2" w:rsidR="00EA48F3" w:rsidRPr="004C6203" w:rsidRDefault="00C55817" w:rsidP="003720A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 xml:space="preserve">The UK Health Security Agency (UKHSA) </w:t>
      </w:r>
      <w:r w:rsidR="00504A16" w:rsidRPr="004C6203">
        <w:rPr>
          <w:rFonts w:ascii="Arial" w:hAnsi="Arial" w:cs="Arial"/>
          <w:sz w:val="24"/>
          <w:szCs w:val="24"/>
        </w:rPr>
        <w:t xml:space="preserve">and the British Institute of Radiology (BIR) </w:t>
      </w:r>
      <w:r w:rsidRPr="004C6203">
        <w:rPr>
          <w:rFonts w:ascii="Arial" w:hAnsi="Arial" w:cs="Arial"/>
          <w:sz w:val="24"/>
          <w:szCs w:val="24"/>
        </w:rPr>
        <w:t>recognise the benefits of exposure monitoring systems in the optimisation process</w:t>
      </w:r>
      <w:r w:rsidR="00A47725" w:rsidRPr="004C6203">
        <w:rPr>
          <w:rFonts w:ascii="Arial" w:hAnsi="Arial" w:cs="Arial"/>
          <w:sz w:val="24"/>
          <w:szCs w:val="24"/>
        </w:rPr>
        <w:t>, while noting that there is no IEC standard governing the estimation of effective dose</w:t>
      </w:r>
      <w:r w:rsidRPr="004C6203">
        <w:rPr>
          <w:rFonts w:ascii="Arial" w:hAnsi="Arial" w:cs="Arial"/>
          <w:sz w:val="24"/>
          <w:szCs w:val="24"/>
        </w:rPr>
        <w:t xml:space="preserve">. </w:t>
      </w:r>
      <w:r w:rsidR="00DB39FA" w:rsidRPr="004C6203">
        <w:rPr>
          <w:rFonts w:ascii="Arial" w:hAnsi="Arial" w:cs="Arial"/>
          <w:sz w:val="24"/>
          <w:szCs w:val="24"/>
        </w:rPr>
        <w:t>UKHSA</w:t>
      </w:r>
      <w:r w:rsidR="00504A16" w:rsidRPr="004C6203">
        <w:rPr>
          <w:rFonts w:ascii="Arial" w:hAnsi="Arial" w:cs="Arial"/>
          <w:sz w:val="24"/>
          <w:szCs w:val="24"/>
        </w:rPr>
        <w:t xml:space="preserve"> and BIR</w:t>
      </w:r>
      <w:r w:rsidR="00DB39FA" w:rsidRPr="004C6203">
        <w:rPr>
          <w:rFonts w:ascii="Arial" w:hAnsi="Arial" w:cs="Arial"/>
          <w:sz w:val="24"/>
          <w:szCs w:val="24"/>
        </w:rPr>
        <w:t xml:space="preserve"> support the view</w:t>
      </w:r>
      <w:r w:rsidR="00DF23C8" w:rsidRPr="004C6203">
        <w:rPr>
          <w:rFonts w:ascii="Arial" w:hAnsi="Arial" w:cs="Arial"/>
          <w:sz w:val="24"/>
          <w:szCs w:val="24"/>
        </w:rPr>
        <w:t>s</w:t>
      </w:r>
      <w:r w:rsidR="002130A1" w:rsidRPr="004C6203">
        <w:rPr>
          <w:rFonts w:ascii="Arial" w:hAnsi="Arial" w:cs="Arial"/>
          <w:sz w:val="24"/>
          <w:szCs w:val="24"/>
        </w:rPr>
        <w:t xml:space="preserve"> outline</w:t>
      </w:r>
      <w:r w:rsidR="003720A4" w:rsidRPr="004C6203">
        <w:rPr>
          <w:rFonts w:ascii="Arial" w:hAnsi="Arial" w:cs="Arial"/>
          <w:sz w:val="24"/>
          <w:szCs w:val="24"/>
        </w:rPr>
        <w:t>d by the AAPM</w:t>
      </w:r>
      <w:r w:rsidR="00EA48F3" w:rsidRPr="004C6203">
        <w:rPr>
          <w:rFonts w:ascii="Arial" w:hAnsi="Arial" w:cs="Arial"/>
          <w:sz w:val="24"/>
          <w:szCs w:val="24"/>
        </w:rPr>
        <w:t xml:space="preserve"> </w:t>
      </w:r>
      <w:bookmarkStart w:id="1" w:name="_Hlk137196651"/>
      <w:r w:rsidR="00EA48F3" w:rsidRPr="004C6203">
        <w:rPr>
          <w:rFonts w:ascii="Arial" w:hAnsi="Arial" w:cs="Arial"/>
          <w:sz w:val="24"/>
          <w:szCs w:val="24"/>
        </w:rPr>
        <w:t xml:space="preserve">that the decision to perform a medical imaging exposure should be based on clinical need </w:t>
      </w:r>
      <w:r w:rsidRPr="004C6203">
        <w:rPr>
          <w:rFonts w:ascii="Arial" w:hAnsi="Arial" w:cs="Arial"/>
          <w:sz w:val="24"/>
          <w:szCs w:val="24"/>
        </w:rPr>
        <w:t xml:space="preserve">rather than the dose from previous exposures. </w:t>
      </w:r>
      <w:bookmarkEnd w:id="1"/>
      <w:r w:rsidR="00A47725" w:rsidRPr="004C6203">
        <w:rPr>
          <w:rFonts w:ascii="Arial" w:hAnsi="Arial" w:cs="Arial"/>
          <w:sz w:val="24"/>
          <w:szCs w:val="24"/>
        </w:rPr>
        <w:t xml:space="preserve">In exceptional cases, when planning multiple high dose interventional (or CT perfusion) procedures exposing the same area, over a short </w:t>
      </w:r>
      <w:proofErr w:type="gramStart"/>
      <w:r w:rsidR="00A47725" w:rsidRPr="004C6203">
        <w:rPr>
          <w:rFonts w:ascii="Arial" w:hAnsi="Arial" w:cs="Arial"/>
          <w:sz w:val="24"/>
          <w:szCs w:val="24"/>
        </w:rPr>
        <w:t>time period</w:t>
      </w:r>
      <w:proofErr w:type="gramEnd"/>
      <w:r w:rsidR="00A47725" w:rsidRPr="004C6203">
        <w:rPr>
          <w:rFonts w:ascii="Arial" w:hAnsi="Arial" w:cs="Arial"/>
          <w:sz w:val="24"/>
          <w:szCs w:val="24"/>
        </w:rPr>
        <w:t>, and where deterministic effects are expected, previous dose information should also be considered in the justification and optimisation process.</w:t>
      </w:r>
    </w:p>
    <w:p w14:paraId="2C7D6763" w14:textId="77777777" w:rsidR="00EA48F3" w:rsidRPr="004C6203" w:rsidRDefault="00EA48F3" w:rsidP="003720A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0C5B9D9" w14:textId="1E0C8F12" w:rsidR="00EA48F3" w:rsidRPr="004C6203" w:rsidRDefault="003720A4" w:rsidP="003720A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To protect patients from unnecessary medical exposures, appropriate justification of medical imaging exposures is essentia</w:t>
      </w:r>
      <w:r w:rsidR="00EA48F3" w:rsidRPr="004C6203">
        <w:rPr>
          <w:rFonts w:ascii="Arial" w:hAnsi="Arial" w:cs="Arial"/>
          <w:sz w:val="24"/>
          <w:szCs w:val="24"/>
        </w:rPr>
        <w:t xml:space="preserve">l. </w:t>
      </w:r>
    </w:p>
    <w:p w14:paraId="717A69E3" w14:textId="77777777" w:rsidR="00EA48F3" w:rsidRPr="004C6203" w:rsidRDefault="00EA48F3" w:rsidP="003720A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B1A7C12" w14:textId="16B32679" w:rsidR="008622D0" w:rsidRPr="004C6203" w:rsidRDefault="00EA48F3" w:rsidP="00A4772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 xml:space="preserve">Optimisation of medical imaging exposures </w:t>
      </w:r>
      <w:r w:rsidR="00C55817" w:rsidRPr="004C6203">
        <w:rPr>
          <w:rFonts w:ascii="Arial" w:hAnsi="Arial" w:cs="Arial"/>
          <w:sz w:val="24"/>
          <w:szCs w:val="24"/>
        </w:rPr>
        <w:t xml:space="preserve">is one of the fundamental principles of the Ionising Radiation (Medical Exposure) Regulations and is required to </w:t>
      </w:r>
      <w:r w:rsidR="00A47725" w:rsidRPr="004C6203">
        <w:rPr>
          <w:rFonts w:ascii="Arial" w:hAnsi="Arial" w:cs="Arial"/>
          <w:sz w:val="24"/>
          <w:szCs w:val="24"/>
        </w:rPr>
        <w:t xml:space="preserve">keep </w:t>
      </w:r>
      <w:r w:rsidR="00C55817" w:rsidRPr="004C6203">
        <w:rPr>
          <w:rFonts w:ascii="Arial" w:hAnsi="Arial" w:cs="Arial"/>
          <w:sz w:val="24"/>
          <w:szCs w:val="24"/>
        </w:rPr>
        <w:t>doses from medical exposures as low as reasonably practicable</w:t>
      </w:r>
      <w:r w:rsidR="00A47725" w:rsidRPr="004C6203">
        <w:rPr>
          <w:rFonts w:ascii="Arial" w:hAnsi="Arial" w:cs="Arial"/>
          <w:sz w:val="24"/>
          <w:szCs w:val="24"/>
        </w:rPr>
        <w:t>, consistent with the intended purpose</w:t>
      </w:r>
      <w:r w:rsidR="00C55817" w:rsidRPr="004C6203">
        <w:rPr>
          <w:rFonts w:ascii="Arial" w:hAnsi="Arial" w:cs="Arial"/>
          <w:sz w:val="24"/>
          <w:szCs w:val="24"/>
        </w:rPr>
        <w:t xml:space="preserve">. </w:t>
      </w:r>
    </w:p>
    <w:p w14:paraId="71D7A202" w14:textId="786F0D73" w:rsidR="000F3FA0" w:rsidRPr="004C6203" w:rsidRDefault="000F3FA0" w:rsidP="00A4772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763F62D" w14:textId="30E810DD" w:rsidR="000F3FA0" w:rsidRPr="004C6203" w:rsidRDefault="000F3FA0" w:rsidP="00A4772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89B6A0F" w14:textId="3B0EA1EB" w:rsidR="004C6203" w:rsidRDefault="004C6203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3A4C4A12" w14:textId="7AD92CDF" w:rsidR="000F3FA0" w:rsidRPr="004C6203" w:rsidRDefault="000F3FA0" w:rsidP="004C6203">
      <w:pPr>
        <w:pStyle w:val="Frontpagetitlesecondlevel"/>
        <w:rPr>
          <w:sz w:val="48"/>
          <w:szCs w:val="22"/>
        </w:rPr>
      </w:pPr>
      <w:r w:rsidRPr="004C6203">
        <w:rPr>
          <w:sz w:val="48"/>
          <w:szCs w:val="22"/>
        </w:rPr>
        <w:t>About The British Institute of Radiology</w:t>
      </w:r>
    </w:p>
    <w:p w14:paraId="1BC267B6" w14:textId="77777777" w:rsidR="000F3FA0" w:rsidRPr="004C6203" w:rsidRDefault="000F3FA0" w:rsidP="000F3FA0">
      <w:pPr>
        <w:rPr>
          <w:rFonts w:ascii="Arial" w:hAnsi="Arial" w:cs="Arial"/>
          <w:b/>
          <w:bCs/>
          <w:sz w:val="24"/>
          <w:szCs w:val="24"/>
        </w:rPr>
      </w:pPr>
    </w:p>
    <w:p w14:paraId="0C117C6C" w14:textId="77777777" w:rsidR="000F3FA0" w:rsidRPr="004C6203" w:rsidRDefault="000F3FA0" w:rsidP="000F3FA0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The British Institute of Radiology is an international membership organisation for everyone working in imaging, radiation oncology and the underlying sciences.</w:t>
      </w:r>
    </w:p>
    <w:p w14:paraId="15DF03C5" w14:textId="77777777" w:rsidR="000F3FA0" w:rsidRPr="004C6203" w:rsidRDefault="000F3FA0" w:rsidP="000F3FA0">
      <w:pPr>
        <w:pStyle w:val="ListParagraph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 </w:t>
      </w:r>
    </w:p>
    <w:p w14:paraId="27A04973" w14:textId="77777777" w:rsidR="000F3FA0" w:rsidRPr="004C6203" w:rsidRDefault="000F3FA0" w:rsidP="000F3FA0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Our aims are to:</w:t>
      </w:r>
    </w:p>
    <w:p w14:paraId="4B2E930C" w14:textId="77777777" w:rsidR="000F3FA0" w:rsidRPr="004C6203" w:rsidRDefault="000F3FA0" w:rsidP="000F3FA0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support the work of our members and their colleagues to achieve professional excellence.</w:t>
      </w:r>
    </w:p>
    <w:p w14:paraId="54CC1E22" w14:textId="77777777" w:rsidR="000F3FA0" w:rsidRPr="004C6203" w:rsidRDefault="000F3FA0" w:rsidP="000F3FA0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provide continuing professional development for our multidisciplinary community</w:t>
      </w:r>
    </w:p>
    <w:p w14:paraId="35ACD1F9" w14:textId="77777777" w:rsidR="000F3FA0" w:rsidRPr="004C6203" w:rsidRDefault="000F3FA0" w:rsidP="000F3FA0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publish cutting-edge research for our authors and readers across the world</w:t>
      </w:r>
    </w:p>
    <w:p w14:paraId="42000C35" w14:textId="77777777" w:rsidR="000F3FA0" w:rsidRPr="004C6203" w:rsidRDefault="000F3FA0" w:rsidP="000F3FA0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influence and connect with the wider professional sector.</w:t>
      </w:r>
    </w:p>
    <w:p w14:paraId="16E1236D" w14:textId="77777777" w:rsidR="000F3FA0" w:rsidRPr="004C6203" w:rsidRDefault="000F3FA0" w:rsidP="000F3FA0">
      <w:pPr>
        <w:pStyle w:val="ListParagraph"/>
        <w:ind w:left="555" w:hanging="555"/>
        <w:rPr>
          <w:rFonts w:ascii="Arial" w:hAnsi="Arial" w:cs="Arial"/>
          <w:sz w:val="24"/>
          <w:szCs w:val="24"/>
        </w:rPr>
      </w:pPr>
    </w:p>
    <w:p w14:paraId="5618BBBA" w14:textId="77777777" w:rsidR="000F3FA0" w:rsidRPr="004C6203" w:rsidRDefault="000F3FA0" w:rsidP="000F3FA0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Registered Charity No: 215869</w:t>
      </w:r>
    </w:p>
    <w:p w14:paraId="0DE6B214" w14:textId="77777777" w:rsidR="000F3FA0" w:rsidRPr="004C6203" w:rsidRDefault="000F3FA0" w:rsidP="000F3FA0">
      <w:pPr>
        <w:rPr>
          <w:rFonts w:ascii="Arial" w:hAnsi="Arial" w:cs="Arial"/>
          <w:b/>
          <w:bCs/>
          <w:sz w:val="24"/>
          <w:szCs w:val="24"/>
        </w:rPr>
      </w:pPr>
    </w:p>
    <w:p w14:paraId="6A3F0A35" w14:textId="77777777" w:rsidR="00561AE4" w:rsidRDefault="00561AE4" w:rsidP="000F3FA0">
      <w:pPr>
        <w:rPr>
          <w:rFonts w:ascii="Arial" w:hAnsi="Arial" w:cs="Arial"/>
          <w:b/>
          <w:bCs/>
          <w:sz w:val="24"/>
          <w:szCs w:val="24"/>
        </w:rPr>
      </w:pPr>
    </w:p>
    <w:p w14:paraId="766143B4" w14:textId="77777777" w:rsidR="00561AE4" w:rsidRDefault="00561AE4" w:rsidP="000F3FA0">
      <w:pPr>
        <w:rPr>
          <w:rFonts w:ascii="Arial" w:hAnsi="Arial" w:cs="Arial"/>
          <w:b/>
          <w:bCs/>
          <w:sz w:val="24"/>
          <w:szCs w:val="24"/>
        </w:rPr>
      </w:pPr>
    </w:p>
    <w:p w14:paraId="664A6522" w14:textId="0F777F74" w:rsidR="000F3FA0" w:rsidRPr="004C6203" w:rsidRDefault="000F3FA0" w:rsidP="000F3FA0">
      <w:pPr>
        <w:rPr>
          <w:rFonts w:ascii="Arial" w:hAnsi="Arial" w:cs="Arial"/>
          <w:b/>
          <w:bCs/>
          <w:sz w:val="24"/>
          <w:szCs w:val="24"/>
        </w:rPr>
      </w:pPr>
      <w:r w:rsidRPr="004C6203">
        <w:rPr>
          <w:rFonts w:ascii="Arial" w:hAnsi="Arial" w:cs="Arial"/>
          <w:b/>
          <w:bCs/>
          <w:sz w:val="24"/>
          <w:szCs w:val="24"/>
        </w:rPr>
        <w:t>For information about this release please contact:</w:t>
      </w:r>
    </w:p>
    <w:p w14:paraId="4F16A836" w14:textId="77777777" w:rsidR="000F3FA0" w:rsidRPr="004C6203" w:rsidRDefault="000F3FA0" w:rsidP="000F3FA0">
      <w:pPr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Carole Cross</w:t>
      </w:r>
    </w:p>
    <w:p w14:paraId="333FF7CF" w14:textId="77777777" w:rsidR="000F3FA0" w:rsidRPr="004C6203" w:rsidRDefault="000F3FA0" w:rsidP="000F3FA0">
      <w:pPr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Director of Communications and Partnerships</w:t>
      </w:r>
    </w:p>
    <w:p w14:paraId="38129206" w14:textId="77777777" w:rsidR="000F3FA0" w:rsidRPr="004C6203" w:rsidRDefault="000F3FA0" w:rsidP="000F3FA0">
      <w:pPr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>The British Institute of Radiology, Audrey House, 16-20 Ely Place, London EC1N 6SN</w:t>
      </w:r>
    </w:p>
    <w:p w14:paraId="3B78B125" w14:textId="77777777" w:rsidR="000F3FA0" w:rsidRPr="004C6203" w:rsidRDefault="000F3FA0" w:rsidP="000F3FA0">
      <w:pPr>
        <w:rPr>
          <w:rStyle w:val="Hyperlink"/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  <w:lang w:val="de-DE"/>
        </w:rPr>
        <w:t xml:space="preserve">Tel. 020 3668 2224    </w:t>
      </w:r>
      <w:hyperlink r:id="rId12">
        <w:r w:rsidRPr="004C6203">
          <w:rPr>
            <w:rStyle w:val="Hyperlink"/>
            <w:rFonts w:ascii="Arial" w:hAnsi="Arial" w:cs="Arial"/>
            <w:sz w:val="24"/>
            <w:szCs w:val="24"/>
            <w:lang w:val="de-DE"/>
          </w:rPr>
          <w:t>carole.cross@bir.org.uk</w:t>
        </w:r>
      </w:hyperlink>
      <w:r w:rsidRPr="004C6203">
        <w:rPr>
          <w:rFonts w:ascii="Arial" w:hAnsi="Arial" w:cs="Arial"/>
          <w:sz w:val="24"/>
          <w:szCs w:val="24"/>
          <w:lang w:val="de-DE"/>
        </w:rPr>
        <w:t xml:space="preserve">  </w:t>
      </w:r>
      <w:hyperlink r:id="rId13">
        <w:r w:rsidRPr="004C6203">
          <w:rPr>
            <w:rStyle w:val="Hyperlink"/>
            <w:rFonts w:ascii="Arial" w:hAnsi="Arial" w:cs="Arial"/>
            <w:sz w:val="24"/>
            <w:szCs w:val="24"/>
          </w:rPr>
          <w:t>www.bir.org.uk</w:t>
        </w:r>
      </w:hyperlink>
    </w:p>
    <w:p w14:paraId="20309E6D" w14:textId="6979203B" w:rsidR="000F3FA0" w:rsidRPr="004C6203" w:rsidRDefault="000F3FA0" w:rsidP="000F3FA0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C620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Mobile 07963 200147 (out of office hours)</w:t>
      </w:r>
    </w:p>
    <w:p w14:paraId="66D664C0" w14:textId="77777777" w:rsidR="004C6203" w:rsidRPr="00527ECE" w:rsidRDefault="004C6203" w:rsidP="000F3FA0">
      <w:pPr>
        <w:rPr>
          <w:rStyle w:val="Hyperlink"/>
          <w:color w:val="auto"/>
          <w:u w:val="none"/>
        </w:rPr>
      </w:pPr>
    </w:p>
    <w:p w14:paraId="622DE260" w14:textId="7D40B5CF" w:rsidR="004C6203" w:rsidRPr="004C6203" w:rsidRDefault="004C6203" w:rsidP="004C6203">
      <w:pPr>
        <w:pStyle w:val="Frontpagetitlesecondlevel"/>
        <w:rPr>
          <w:sz w:val="48"/>
          <w:szCs w:val="22"/>
        </w:rPr>
      </w:pPr>
      <w:bookmarkStart w:id="2" w:name="_Toc127956447"/>
      <w:r w:rsidRPr="004C6203">
        <w:rPr>
          <w:sz w:val="48"/>
          <w:szCs w:val="22"/>
        </w:rPr>
        <w:t>About the UK Health Security Agency</w:t>
      </w:r>
      <w:bookmarkEnd w:id="2"/>
    </w:p>
    <w:p w14:paraId="15526015" w14:textId="77777777" w:rsidR="004C6203" w:rsidRPr="004C6203" w:rsidRDefault="004C6203" w:rsidP="004C6203">
      <w:pPr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 xml:space="preserve">The </w:t>
      </w:r>
      <w:hyperlink r:id="rId14" w:history="1">
        <w:r w:rsidRPr="004C6203">
          <w:rPr>
            <w:rStyle w:val="Hyperlink"/>
            <w:rFonts w:ascii="Arial" w:hAnsi="Arial" w:cs="Arial"/>
            <w:sz w:val="24"/>
            <w:szCs w:val="24"/>
          </w:rPr>
          <w:t>UK Health Security Agency</w:t>
        </w:r>
      </w:hyperlink>
      <w:r w:rsidRPr="004C6203">
        <w:rPr>
          <w:rFonts w:ascii="Arial" w:hAnsi="Arial" w:cs="Arial"/>
          <w:sz w:val="24"/>
          <w:szCs w:val="24"/>
        </w:rPr>
        <w:t xml:space="preserve"> is an executive agency, sponsored by the </w:t>
      </w:r>
      <w:hyperlink r:id="rId15" w:history="1">
        <w:r w:rsidRPr="004C6203">
          <w:rPr>
            <w:rStyle w:val="Hyperlink"/>
            <w:rFonts w:ascii="Arial" w:hAnsi="Arial" w:cs="Arial"/>
            <w:sz w:val="24"/>
            <w:szCs w:val="24"/>
          </w:rPr>
          <w:t>Department of Health and Social Care</w:t>
        </w:r>
      </w:hyperlink>
      <w:r w:rsidRPr="004C6203">
        <w:rPr>
          <w:rFonts w:ascii="Arial" w:hAnsi="Arial" w:cs="Arial"/>
          <w:sz w:val="24"/>
          <w:szCs w:val="24"/>
        </w:rPr>
        <w:t>.</w:t>
      </w:r>
    </w:p>
    <w:p w14:paraId="7B6A71E3" w14:textId="77777777" w:rsidR="004C6203" w:rsidRPr="004C6203" w:rsidRDefault="004C6203" w:rsidP="004C6203">
      <w:pPr>
        <w:rPr>
          <w:rStyle w:val="Hyperlink"/>
          <w:rFonts w:ascii="Arial" w:hAnsi="Arial" w:cs="Arial"/>
          <w:sz w:val="24"/>
          <w:szCs w:val="24"/>
        </w:rPr>
      </w:pPr>
    </w:p>
    <w:p w14:paraId="3DA00E85" w14:textId="77777777" w:rsidR="004C6203" w:rsidRPr="004C6203" w:rsidRDefault="00B50C04" w:rsidP="004C6203">
      <w:pPr>
        <w:rPr>
          <w:rStyle w:val="Hyperlink"/>
          <w:rFonts w:ascii="Arial" w:hAnsi="Arial" w:cs="Arial"/>
          <w:sz w:val="24"/>
          <w:szCs w:val="24"/>
        </w:rPr>
      </w:pPr>
      <w:hyperlink r:id="rId16" w:tgtFrame="_blank" w:history="1">
        <w:r w:rsidR="004C6203" w:rsidRPr="004C6203">
          <w:rPr>
            <w:rStyle w:val="Hyperlink"/>
            <w:rFonts w:ascii="Arial" w:eastAsiaTheme="majorEastAsia" w:hAnsi="Arial" w:cs="Arial"/>
            <w:sz w:val="24"/>
            <w:szCs w:val="24"/>
          </w:rPr>
          <w:t>www.gov.uk/government/organisations/uk-health-security-agency</w:t>
        </w:r>
      </w:hyperlink>
    </w:p>
    <w:p w14:paraId="4059E44D" w14:textId="77777777" w:rsidR="004C6203" w:rsidRPr="004C6203" w:rsidRDefault="004C6203" w:rsidP="004C6203">
      <w:pPr>
        <w:rPr>
          <w:rFonts w:ascii="Arial" w:hAnsi="Arial" w:cs="Arial"/>
          <w:sz w:val="24"/>
          <w:szCs w:val="24"/>
        </w:rPr>
      </w:pPr>
    </w:p>
    <w:p w14:paraId="53982B99" w14:textId="77777777" w:rsidR="004C6203" w:rsidRPr="004C6203" w:rsidRDefault="004C6203" w:rsidP="004C6203">
      <w:pPr>
        <w:rPr>
          <w:rFonts w:ascii="Arial" w:hAnsi="Arial" w:cs="Arial"/>
          <w:sz w:val="24"/>
          <w:szCs w:val="24"/>
        </w:rPr>
      </w:pPr>
    </w:p>
    <w:p w14:paraId="0FCD6D51" w14:textId="0C794178" w:rsidR="004C6203" w:rsidRPr="004C6203" w:rsidRDefault="004C6203" w:rsidP="004C6203">
      <w:pPr>
        <w:ind w:right="102"/>
        <w:rPr>
          <w:rFonts w:ascii="Arial" w:hAnsi="Arial" w:cs="Arial"/>
          <w:sz w:val="24"/>
          <w:szCs w:val="24"/>
        </w:rPr>
      </w:pPr>
      <w:bookmarkStart w:id="3" w:name="_Hlk54015304"/>
      <w:bookmarkStart w:id="4" w:name="_Hlk54015303"/>
      <w:r w:rsidRPr="004C6203">
        <w:rPr>
          <w:rFonts w:ascii="Arial" w:hAnsi="Arial" w:cs="Arial"/>
          <w:sz w:val="24"/>
          <w:szCs w:val="24"/>
        </w:rPr>
        <w:t xml:space="preserve">© Crown copyright </w:t>
      </w:r>
      <w:r w:rsidR="007C4120">
        <w:rPr>
          <w:rFonts w:ascii="Arial" w:hAnsi="Arial" w:cs="Arial"/>
          <w:sz w:val="24"/>
          <w:szCs w:val="24"/>
        </w:rPr>
        <w:t>2023</w:t>
      </w:r>
    </w:p>
    <w:p w14:paraId="56E78302" w14:textId="77777777" w:rsidR="004C6203" w:rsidRPr="004C6203" w:rsidRDefault="004C6203" w:rsidP="004C6203">
      <w:pPr>
        <w:ind w:right="102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 xml:space="preserve">Version 1.0 </w:t>
      </w:r>
      <w:bookmarkEnd w:id="3"/>
      <w:bookmarkEnd w:id="4"/>
    </w:p>
    <w:p w14:paraId="0A99C19E" w14:textId="77777777" w:rsidR="004C6203" w:rsidRPr="004C6203" w:rsidRDefault="004C6203" w:rsidP="004C6203">
      <w:pPr>
        <w:rPr>
          <w:rFonts w:ascii="Arial" w:hAnsi="Arial" w:cs="Arial"/>
          <w:sz w:val="24"/>
          <w:szCs w:val="24"/>
        </w:rPr>
      </w:pPr>
    </w:p>
    <w:p w14:paraId="47A56E5D" w14:textId="77777777" w:rsidR="004C6203" w:rsidRPr="004C6203" w:rsidRDefault="004C6203" w:rsidP="004C6203">
      <w:pPr>
        <w:ind w:right="102"/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 xml:space="preserve">Prepared </w:t>
      </w:r>
      <w:proofErr w:type="gramStart"/>
      <w:r w:rsidRPr="004C6203">
        <w:rPr>
          <w:rFonts w:ascii="Arial" w:hAnsi="Arial" w:cs="Arial"/>
          <w:sz w:val="24"/>
          <w:szCs w:val="24"/>
        </w:rPr>
        <w:t>by:</w:t>
      </w:r>
      <w:proofErr w:type="gramEnd"/>
      <w:r w:rsidRPr="004C6203">
        <w:rPr>
          <w:rFonts w:ascii="Arial" w:hAnsi="Arial" w:cs="Arial"/>
          <w:sz w:val="24"/>
          <w:szCs w:val="24"/>
        </w:rPr>
        <w:t xml:space="preserve"> the Medical Exposures Group, UK Health Security Agency</w:t>
      </w:r>
      <w:r w:rsidRPr="004C6203">
        <w:rPr>
          <w:rFonts w:ascii="Arial" w:hAnsi="Arial" w:cs="Arial"/>
          <w:sz w:val="24"/>
          <w:szCs w:val="24"/>
        </w:rPr>
        <w:br/>
        <w:t xml:space="preserve">For queries relating to this document, please contact: </w:t>
      </w:r>
      <w:hyperlink r:id="rId17" w:history="1">
        <w:r w:rsidRPr="004C6203">
          <w:rPr>
            <w:rStyle w:val="Hyperlink"/>
            <w:rFonts w:ascii="Arial" w:hAnsi="Arial" w:cs="Arial"/>
            <w:sz w:val="24"/>
            <w:szCs w:val="24"/>
          </w:rPr>
          <w:t>MedicalExposures@ukhsa.gov.uk</w:t>
        </w:r>
      </w:hyperlink>
      <w:r w:rsidRPr="004C6203">
        <w:rPr>
          <w:rFonts w:ascii="Arial" w:hAnsi="Arial" w:cs="Arial"/>
          <w:sz w:val="24"/>
          <w:szCs w:val="24"/>
        </w:rPr>
        <w:t xml:space="preserve"> </w:t>
      </w:r>
    </w:p>
    <w:p w14:paraId="3087C6D2" w14:textId="77777777" w:rsidR="004C6203" w:rsidRPr="004C6203" w:rsidRDefault="004C6203" w:rsidP="004C6203">
      <w:pPr>
        <w:rPr>
          <w:rFonts w:ascii="Arial" w:hAnsi="Arial" w:cs="Arial"/>
          <w:sz w:val="24"/>
          <w:szCs w:val="24"/>
        </w:rPr>
      </w:pPr>
    </w:p>
    <w:p w14:paraId="63E32261" w14:textId="58F2A608" w:rsidR="004C6203" w:rsidRPr="004C6203" w:rsidRDefault="004C6203" w:rsidP="004C6203">
      <w:pPr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 xml:space="preserve">Published: </w:t>
      </w:r>
      <w:r w:rsidR="009D7E61" w:rsidRPr="009D7E61">
        <w:rPr>
          <w:rFonts w:ascii="Arial" w:hAnsi="Arial" w:cs="Arial"/>
          <w:sz w:val="24"/>
          <w:szCs w:val="24"/>
        </w:rPr>
        <w:t>4 July 2023</w:t>
      </w:r>
    </w:p>
    <w:p w14:paraId="04070D32" w14:textId="77777777" w:rsidR="004C6203" w:rsidRPr="004C6203" w:rsidRDefault="004C6203" w:rsidP="004C6203">
      <w:pPr>
        <w:rPr>
          <w:rFonts w:ascii="Arial" w:hAnsi="Arial" w:cs="Arial"/>
          <w:sz w:val="24"/>
          <w:szCs w:val="24"/>
        </w:rPr>
      </w:pPr>
    </w:p>
    <w:p w14:paraId="1D91E3C0" w14:textId="77777777" w:rsidR="004C6203" w:rsidRPr="004C6203" w:rsidRDefault="004C6203" w:rsidP="004C6203">
      <w:pPr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8F801B" wp14:editId="02325FA8">
            <wp:extent cx="653415" cy="365760"/>
            <wp:effectExtent l="0" t="0" r="0" b="2540"/>
            <wp:docPr id="4" name="Picture 4" descr="UK-Ogl-symbol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K-Ogl-symbol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AF327" w14:textId="77777777" w:rsidR="004C6203" w:rsidRPr="004C6203" w:rsidRDefault="004C6203" w:rsidP="004C6203">
      <w:pPr>
        <w:rPr>
          <w:rFonts w:ascii="Arial" w:hAnsi="Arial" w:cs="Arial"/>
          <w:sz w:val="24"/>
          <w:szCs w:val="24"/>
        </w:rPr>
      </w:pPr>
      <w:r w:rsidRPr="004C6203">
        <w:rPr>
          <w:rFonts w:ascii="Arial" w:hAnsi="Arial" w:cs="Arial"/>
          <w:sz w:val="24"/>
          <w:szCs w:val="24"/>
        </w:rPr>
        <w:t xml:space="preserve">You may re-use this information (excluding logos) free of charge in any format or medium, under the terms of the Open Government Licence v3.0. To view this licence, visit </w:t>
      </w:r>
      <w:hyperlink r:id="rId21" w:history="1">
        <w:r w:rsidRPr="004C6203">
          <w:rPr>
            <w:rStyle w:val="Hyperlink"/>
            <w:rFonts w:ascii="Arial" w:hAnsi="Arial" w:cs="Arial"/>
            <w:sz w:val="24"/>
            <w:szCs w:val="24"/>
          </w:rPr>
          <w:t>OGL</w:t>
        </w:r>
      </w:hyperlink>
      <w:r w:rsidRPr="004C6203">
        <w:rPr>
          <w:rFonts w:ascii="Arial" w:hAnsi="Arial" w:cs="Arial"/>
          <w:color w:val="1F497D"/>
          <w:sz w:val="24"/>
          <w:szCs w:val="24"/>
        </w:rPr>
        <w:t>.</w:t>
      </w:r>
      <w:r w:rsidRPr="004C6203">
        <w:rPr>
          <w:rFonts w:ascii="Arial" w:hAnsi="Arial" w:cs="Arial"/>
          <w:sz w:val="24"/>
          <w:szCs w:val="24"/>
        </w:rPr>
        <w:t xml:space="preserve"> Where we have identified any </w:t>
      </w:r>
      <w:proofErr w:type="gramStart"/>
      <w:r w:rsidRPr="004C6203">
        <w:rPr>
          <w:rFonts w:ascii="Arial" w:hAnsi="Arial" w:cs="Arial"/>
          <w:sz w:val="24"/>
          <w:szCs w:val="24"/>
        </w:rPr>
        <w:t>third party</w:t>
      </w:r>
      <w:proofErr w:type="gramEnd"/>
      <w:r w:rsidRPr="004C6203">
        <w:rPr>
          <w:rFonts w:ascii="Arial" w:hAnsi="Arial" w:cs="Arial"/>
          <w:sz w:val="24"/>
          <w:szCs w:val="24"/>
        </w:rPr>
        <w:t xml:space="preserve"> copyright information you will need to obtain permission from the copyright holders concerned.</w:t>
      </w:r>
    </w:p>
    <w:p w14:paraId="6AAECDB2" w14:textId="77777777" w:rsidR="004C6203" w:rsidRDefault="004C6203" w:rsidP="004C6203"/>
    <w:p w14:paraId="4F161E26" w14:textId="77777777" w:rsidR="004C6203" w:rsidRPr="00053F95" w:rsidRDefault="004C6203" w:rsidP="004C6203">
      <w:pPr>
        <w:rPr>
          <w:rStyle w:val="FootnoteReference"/>
        </w:rPr>
      </w:pPr>
      <w:r>
        <w:rPr>
          <w:noProof/>
        </w:rPr>
        <w:drawing>
          <wp:inline distT="0" distB="0" distL="0" distR="0" wp14:anchorId="618C6D52" wp14:editId="634AD2F5">
            <wp:extent cx="6358071" cy="1067675"/>
            <wp:effectExtent l="0" t="0" r="5080" b="0"/>
            <wp:docPr id="2" name="Picture 2" descr="Plain English Campaign logo and UK Sustainable Development Goa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lain English Campaign logo and UK Sustainable Development Goals logo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578" cy="107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203" w:rsidRPr="00053F95" w:rsidSect="00A4772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875F"/>
    <w:multiLevelType w:val="hybridMultilevel"/>
    <w:tmpl w:val="5C08F9BE"/>
    <w:lvl w:ilvl="0" w:tplc="812C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8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8A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2B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E3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A6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8D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2D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60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5893"/>
    <w:multiLevelType w:val="hybridMultilevel"/>
    <w:tmpl w:val="F5964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5949"/>
    <w:multiLevelType w:val="hybridMultilevel"/>
    <w:tmpl w:val="2F88F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889858">
    <w:abstractNumId w:val="2"/>
  </w:num>
  <w:num w:numId="2" w16cid:durableId="1186600306">
    <w:abstractNumId w:val="1"/>
  </w:num>
  <w:num w:numId="3" w16cid:durableId="40542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63"/>
    <w:rsid w:val="000B61E1"/>
    <w:rsid w:val="000F3FA0"/>
    <w:rsid w:val="00187DFB"/>
    <w:rsid w:val="002130A1"/>
    <w:rsid w:val="00226734"/>
    <w:rsid w:val="00276E6F"/>
    <w:rsid w:val="002B4833"/>
    <w:rsid w:val="002C02F1"/>
    <w:rsid w:val="003072CC"/>
    <w:rsid w:val="00310C60"/>
    <w:rsid w:val="00325C79"/>
    <w:rsid w:val="00327A71"/>
    <w:rsid w:val="00342154"/>
    <w:rsid w:val="003550EB"/>
    <w:rsid w:val="00370AB8"/>
    <w:rsid w:val="003720A4"/>
    <w:rsid w:val="003A75EF"/>
    <w:rsid w:val="003F1233"/>
    <w:rsid w:val="004C6203"/>
    <w:rsid w:val="00504A16"/>
    <w:rsid w:val="00507EB9"/>
    <w:rsid w:val="005129DA"/>
    <w:rsid w:val="005401D8"/>
    <w:rsid w:val="005576CF"/>
    <w:rsid w:val="0056182B"/>
    <w:rsid w:val="00561AE4"/>
    <w:rsid w:val="005F73C9"/>
    <w:rsid w:val="00680352"/>
    <w:rsid w:val="006A5D97"/>
    <w:rsid w:val="006E34A9"/>
    <w:rsid w:val="00785077"/>
    <w:rsid w:val="007C4120"/>
    <w:rsid w:val="0085464B"/>
    <w:rsid w:val="008622D0"/>
    <w:rsid w:val="009254BE"/>
    <w:rsid w:val="009B656C"/>
    <w:rsid w:val="009B7E7E"/>
    <w:rsid w:val="009D1EDE"/>
    <w:rsid w:val="009D716E"/>
    <w:rsid w:val="009D7E61"/>
    <w:rsid w:val="009F5B5E"/>
    <w:rsid w:val="00A47725"/>
    <w:rsid w:val="00B22D10"/>
    <w:rsid w:val="00B50C04"/>
    <w:rsid w:val="00B9149B"/>
    <w:rsid w:val="00B964FF"/>
    <w:rsid w:val="00BC2A0C"/>
    <w:rsid w:val="00BD053B"/>
    <w:rsid w:val="00C2233B"/>
    <w:rsid w:val="00C55817"/>
    <w:rsid w:val="00D36D7E"/>
    <w:rsid w:val="00DB39FA"/>
    <w:rsid w:val="00DF23C8"/>
    <w:rsid w:val="00E30C57"/>
    <w:rsid w:val="00E57E63"/>
    <w:rsid w:val="00EA48F3"/>
    <w:rsid w:val="00EC2BB5"/>
    <w:rsid w:val="00F354DD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D11A"/>
  <w15:chartTrackingRefBased/>
  <w15:docId w15:val="{8757420E-4EDD-43A8-B97A-70C99FBE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E6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7E63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E57E6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A7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5E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2B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81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A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129DA"/>
    <w:pPr>
      <w:spacing w:after="0" w:line="240" w:lineRule="auto"/>
    </w:pPr>
  </w:style>
  <w:style w:type="paragraph" w:customStyle="1" w:styleId="Frontpagetitlesecondlevel">
    <w:name w:val="* Front page title second level"/>
    <w:rsid w:val="004C6203"/>
    <w:pPr>
      <w:spacing w:after="0" w:line="240" w:lineRule="auto"/>
      <w:outlineLvl w:val="1"/>
    </w:pPr>
    <w:rPr>
      <w:rFonts w:ascii="Arial" w:eastAsia="Times New Roman" w:hAnsi="Arial" w:cs="Times New Roman"/>
      <w:color w:val="007C91"/>
      <w:sz w:val="52"/>
      <w:szCs w:val="24"/>
      <w:lang w:eastAsia="en-GB"/>
    </w:rPr>
  </w:style>
  <w:style w:type="character" w:styleId="FootnoteReference">
    <w:name w:val="footnote reference"/>
    <w:aliases w:val="** Footnote Reference"/>
    <w:uiPriority w:val="99"/>
    <w:rsid w:val="004C6203"/>
    <w:rPr>
      <w:caps w:val="0"/>
      <w:smallCaps w:val="0"/>
      <w:strike w:val="0"/>
      <w:dstrike w:val="0"/>
      <w:vanish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bir.org.uk" TargetMode="External"/><Relationship Id="rId18" Type="http://schemas.openxmlformats.org/officeDocument/2006/relationships/hyperlink" Target="https://www.nationalarchives.gov.uk/doc/open-government-licence/version/3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ationalarchives.gov.uk/doc/open-government-licence/version/3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arole.cross@bir.org.uk" TargetMode="External"/><Relationship Id="rId17" Type="http://schemas.openxmlformats.org/officeDocument/2006/relationships/hyperlink" Target="mailto:MedicalExposures@ukhsa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organisations/uk-health-security-agency" TargetMode="External"/><Relationship Id="rId20" Type="http://schemas.openxmlformats.org/officeDocument/2006/relationships/image" Target="cid:image001.jpg@01D353C6.DBBA354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pm.org/org/policies/details.asp?id=1533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v.uk/government/organisations/department-of-health-and-social-car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aea.org/sites/default/files/position_statement_final_endorsed.pdf" TargetMode="External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gov.uk/government/organisations/uk-health-security-agency" TargetMode="External"/><Relationship Id="rId2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6BFB689F3548BAF5ECD824627985" ma:contentTypeVersion="8" ma:contentTypeDescription="Create a new document." ma:contentTypeScope="" ma:versionID="598b86f875b60d3a8d39f8bc9f63c004">
  <xsd:schema xmlns:xsd="http://www.w3.org/2001/XMLSchema" xmlns:xs="http://www.w3.org/2001/XMLSchema" xmlns:p="http://schemas.microsoft.com/office/2006/metadata/properties" xmlns:ns2="02104ae5-1337-48b3-820d-0c01340aa8d4" xmlns:ns3="7bfe6dff-662b-4ef1-86e7-7c70f2032d75" targetNamespace="http://schemas.microsoft.com/office/2006/metadata/properties" ma:root="true" ma:fieldsID="d858df80fb06b89af57f64d9d1b98802" ns2:_="" ns3:_="">
    <xsd:import namespace="02104ae5-1337-48b3-820d-0c01340aa8d4"/>
    <xsd:import namespace="7bfe6dff-662b-4ef1-86e7-7c70f2032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4ae5-1337-48b3-820d-0c01340a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6dff-662b-4ef1-86e7-7c70f2032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FA612-05FD-44AA-BD29-F58BEA818482}">
  <ds:schemaRefs>
    <ds:schemaRef ds:uri="http://purl.org/dc/elements/1.1/"/>
    <ds:schemaRef ds:uri="http://schemas.microsoft.com/office/2006/metadata/properties"/>
    <ds:schemaRef ds:uri="02104ae5-1337-48b3-820d-0c01340aa8d4"/>
    <ds:schemaRef ds:uri="7bfe6dff-662b-4ef1-86e7-7c70f2032d7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9AE454-6841-4EEA-9DEC-A995C1AD9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4ae5-1337-48b3-820d-0c01340aa8d4"/>
    <ds:schemaRef ds:uri="7bfe6dff-662b-4ef1-86e7-7c70f2032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46AE1-DDDB-42B4-A307-FE2C5980BD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934</Words>
  <Characters>5329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Kinsella</dc:creator>
  <cp:keywords/>
  <dc:description/>
  <cp:lastModifiedBy>Louise Fraser</cp:lastModifiedBy>
  <cp:revision>2</cp:revision>
  <dcterms:created xsi:type="dcterms:W3CDTF">2023-07-04T09:54:00Z</dcterms:created>
  <dcterms:modified xsi:type="dcterms:W3CDTF">2023-07-04T09:54:00Z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0x010100C25D6BFB689F3548BAF5ECD824627985</vt:lpwstr>
  </property>
</Properties>
</file>